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/>
          <w:sz w:val="22"/>
        </w:rPr>
        <w:id w:val="12344929"/>
        <w:docPartObj>
          <w:docPartGallery w:val="Cover Pages"/>
          <w:docPartUnique/>
        </w:docPartObj>
      </w:sdtPr>
      <w:sdtEndPr>
        <w:rPr>
          <w:b/>
          <w:color w:val="E73E26"/>
          <w:sz w:val="28"/>
        </w:rPr>
      </w:sdtEndPr>
      <w:sdtContent>
        <w:sdt>
          <w:sdtPr>
            <w:rPr>
              <w:rFonts w:asciiTheme="majorHAnsi" w:hAnsiTheme="majorHAnsi" w:cstheme="minorHAnsi"/>
              <w:sz w:val="22"/>
              <w:szCs w:val="22"/>
            </w:rPr>
            <w:id w:val="1221173963"/>
            <w:docPartObj>
              <w:docPartGallery w:val="Cover Pages"/>
              <w:docPartUnique/>
            </w:docPartObj>
          </w:sdtPr>
          <w:sdtEndPr>
            <w:rPr>
              <w:rFonts w:cstheme="minorBidi"/>
              <w:szCs w:val="24"/>
            </w:rPr>
          </w:sdtEndPr>
          <w:sdtContent>
            <w:p w14:paraId="4EE8F96A" w14:textId="74A74EF7" w:rsidR="00AD37EF" w:rsidRPr="00AD37EF" w:rsidRDefault="00AD37EF" w:rsidP="00AD37EF">
              <w:pPr>
                <w:spacing w:after="0"/>
                <w:rPr>
                  <w:rStyle w:val="AHAHeading"/>
                  <w:rFonts w:asciiTheme="minorHAnsi" w:hAnsiTheme="minorHAnsi"/>
                  <w:b w:val="0"/>
                  <w:color w:val="E73E26"/>
                  <w:sz w:val="24"/>
                </w:rPr>
              </w:pPr>
              <w:r>
                <w:rPr>
                  <w:rStyle w:val="AHAHeading"/>
                  <w:rFonts w:eastAsiaTheme="majorEastAsia" w:cstheme="majorBidi"/>
                  <w:bCs/>
                  <w:szCs w:val="32"/>
                </w:rPr>
                <w:t xml:space="preserve">We have the resources. Let’s do the right thing. </w:t>
              </w:r>
            </w:p>
            <w:p w14:paraId="5AB52AAD" w14:textId="77777777" w:rsidR="00AD37EF" w:rsidRDefault="00AD37EF" w:rsidP="00AD37EF">
              <w:pPr>
                <w:spacing w:after="0"/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</w:pPr>
            </w:p>
            <w:p w14:paraId="73332083" w14:textId="2C36F3CF" w:rsidR="00AD37EF" w:rsidRDefault="00AD37EF" w:rsidP="00AD37EF">
              <w:pPr>
                <w:spacing w:after="0"/>
                <w:rPr>
                  <w:rFonts w:asciiTheme="majorHAnsi" w:hAnsiTheme="majorHAnsi" w:cstheme="minorHAnsi"/>
                  <w:sz w:val="22"/>
                  <w:szCs w:val="22"/>
                </w:rPr>
              </w:pPr>
              <w:r>
                <w:rPr>
                  <w:rFonts w:asciiTheme="majorHAnsi" w:hAnsiTheme="majorHAnsi" w:cstheme="minorHAnsi"/>
                  <w:sz w:val="22"/>
                  <w:szCs w:val="22"/>
                </w:rPr>
                <w:t xml:space="preserve">Under the Transportation Alternatives Program (TAP), there is existing federal funding for alternative transportation options—and it’s up to YOU to make sure </w:t>
              </w:r>
              <w:r w:rsidR="00261E21">
                <w:rPr>
                  <w:rFonts w:asciiTheme="majorHAnsi" w:hAnsiTheme="majorHAnsi" w:cstheme="minorHAnsi"/>
                  <w:sz w:val="22"/>
                  <w:szCs w:val="22"/>
                </w:rPr>
                <w:t>our state’s Safe Routes to School programs are fully funded</w:t>
              </w:r>
              <w:r>
                <w:rPr>
                  <w:rFonts w:asciiTheme="majorHAnsi" w:hAnsiTheme="majorHAnsi" w:cstheme="minorHAnsi"/>
                  <w:sz w:val="22"/>
                  <w:szCs w:val="22"/>
                </w:rPr>
                <w:t xml:space="preserve">. </w:t>
              </w:r>
            </w:p>
            <w:p w14:paraId="0B73307D" w14:textId="77777777" w:rsidR="00AD37EF" w:rsidRDefault="00AD37EF" w:rsidP="00AD37EF">
              <w:pPr>
                <w:spacing w:after="0"/>
                <w:rPr>
                  <w:rFonts w:asciiTheme="majorHAnsi" w:hAnsiTheme="majorHAnsi" w:cstheme="minorHAnsi"/>
                  <w:sz w:val="22"/>
                  <w:szCs w:val="22"/>
                </w:rPr>
              </w:pPr>
            </w:p>
            <w:p w14:paraId="5D17D84A" w14:textId="77777777" w:rsidR="00AD37EF" w:rsidRPr="009A4131" w:rsidRDefault="00AD37EF" w:rsidP="00AD37EF">
              <w:pPr>
                <w:spacing w:after="0"/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</w:pPr>
              <w:r w:rsidRPr="009A4131"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  <w:t xml:space="preserve">Safe routes to school </w:t>
              </w:r>
              <w:r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  <w:t>is the best</w:t>
              </w:r>
              <w:r w:rsidRPr="009A4131"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  <w:t xml:space="preserve"> option for this funding</w:t>
              </w:r>
              <w:r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  <w:t>, and here’s why</w:t>
              </w:r>
              <w:r w:rsidRPr="009A4131"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  <w:t xml:space="preserve">.  </w:t>
              </w:r>
            </w:p>
            <w:p w14:paraId="76D18784" w14:textId="77777777" w:rsidR="00AD37EF" w:rsidRDefault="00AD37EF" w:rsidP="00AD37EF">
              <w:pPr>
                <w:spacing w:after="0"/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</w:pPr>
            </w:p>
            <w:p w14:paraId="5F48BDB9" w14:textId="77777777" w:rsidR="00AD37EF" w:rsidRPr="00C37B37" w:rsidRDefault="00AD37EF" w:rsidP="00AD37EF">
              <w:pPr>
                <w:spacing w:after="0"/>
                <w:rPr>
                  <w:rStyle w:val="AHAHeading"/>
                  <w:rFonts w:eastAsiaTheme="majorEastAsia" w:cstheme="majorBidi"/>
                  <w:b w:val="0"/>
                  <w:bCs/>
                  <w:sz w:val="22"/>
                  <w:szCs w:val="22"/>
                </w:rPr>
              </w:pPr>
              <w:r>
                <w:rPr>
                  <w:rFonts w:asciiTheme="majorHAnsi" w:hAnsiTheme="majorHAnsi" w:cstheme="minorHAnsi"/>
                  <w:sz w:val="22"/>
                  <w:szCs w:val="22"/>
                </w:rPr>
                <w:t xml:space="preserve">Some communities in </w:t>
              </w:r>
              <w:r>
                <w:rPr>
                  <w:rFonts w:asciiTheme="majorHAnsi" w:hAnsiTheme="majorHAnsi" w:cstheme="minorHAnsi"/>
                  <w:b/>
                  <w:sz w:val="22"/>
                  <w:szCs w:val="22"/>
                </w:rPr>
                <w:t xml:space="preserve">[STATE] </w:t>
              </w:r>
              <w:r w:rsidRPr="001D0089">
                <w:rPr>
                  <w:rFonts w:asciiTheme="majorHAnsi" w:hAnsiTheme="majorHAnsi" w:cstheme="minorHAnsi"/>
                  <w:sz w:val="22"/>
                  <w:szCs w:val="22"/>
                </w:rPr>
                <w:t>have</w:t>
              </w:r>
              <w:r>
                <w:rPr>
                  <w:rFonts w:asciiTheme="majorHAnsi" w:hAnsiTheme="majorHAnsi" w:cstheme="minorHAnsi"/>
                  <w:sz w:val="22"/>
                  <w:szCs w:val="22"/>
                </w:rPr>
                <w:t xml:space="preserve"> few sidewalks and bike lanes. As a result, it’s hard for people, especially children, to get exercise in healthy </w:t>
              </w:r>
              <w:r w:rsidRPr="00B17495">
                <w:rPr>
                  <w:rFonts w:asciiTheme="majorHAnsi" w:hAnsiTheme="majorHAnsi" w:cstheme="minorHAnsi"/>
                  <w:i/>
                  <w:sz w:val="22"/>
                  <w:szCs w:val="22"/>
                </w:rPr>
                <w:t>and</w:t>
              </w:r>
              <w:r>
                <w:rPr>
                  <w:rFonts w:asciiTheme="majorHAnsi" w:hAnsiTheme="majorHAnsi" w:cstheme="minorHAnsi"/>
                  <w:sz w:val="22"/>
                  <w:szCs w:val="22"/>
                </w:rPr>
                <w:t xml:space="preserve"> safe ways. Building safe routes to school would encourage our children to choose walking or biking to school over taking the bus or riding in a car. And studies show the benefits of making this choice will extend beyond the physical: When kids get enough exercise, they also perform better academically and exhibit better behavior in the classroom</w:t>
              </w:r>
              <w:proofErr w:type="gramStart"/>
              <w:r>
                <w:rPr>
                  <w:rFonts w:asciiTheme="majorHAnsi" w:hAnsiTheme="majorHAnsi" w:cstheme="minorHAnsi"/>
                  <w:sz w:val="22"/>
                  <w:szCs w:val="22"/>
                </w:rPr>
                <w:t>.</w:t>
              </w:r>
              <w:r w:rsidRPr="00C37B37">
                <w:rPr>
                  <w:rStyle w:val="EndnoteReference"/>
                  <w:rFonts w:asciiTheme="majorHAnsi" w:hAnsiTheme="majorHAnsi" w:cstheme="minorHAnsi"/>
                  <w:sz w:val="22"/>
                  <w:szCs w:val="22"/>
                </w:rPr>
                <w:endnoteReference w:id="1"/>
              </w:r>
              <w:r w:rsidRPr="00C37B37">
                <w:rPr>
                  <w:rFonts w:asciiTheme="majorHAnsi" w:hAnsiTheme="majorHAnsi" w:cstheme="minorHAnsi"/>
                  <w:sz w:val="22"/>
                  <w:szCs w:val="22"/>
                  <w:vertAlign w:val="superscript"/>
                </w:rPr>
                <w:t>,</w:t>
              </w:r>
              <w:r w:rsidRPr="00C37B37">
                <w:rPr>
                  <w:rStyle w:val="EndnoteReference"/>
                  <w:rFonts w:asciiTheme="majorHAnsi" w:hAnsiTheme="majorHAnsi" w:cstheme="minorHAnsi"/>
                  <w:sz w:val="22"/>
                  <w:szCs w:val="22"/>
                </w:rPr>
                <w:endnoteReference w:id="2"/>
              </w:r>
              <w:r w:rsidRPr="00C37B37">
                <w:rPr>
                  <w:rFonts w:asciiTheme="majorHAnsi" w:hAnsiTheme="majorHAnsi" w:cstheme="minorHAnsi"/>
                  <w:sz w:val="22"/>
                  <w:szCs w:val="22"/>
                  <w:vertAlign w:val="superscript"/>
                </w:rPr>
                <w:t>,</w:t>
              </w:r>
              <w:r w:rsidRPr="00C37B37">
                <w:rPr>
                  <w:rStyle w:val="EndnoteReference"/>
                  <w:rFonts w:asciiTheme="majorHAnsi" w:hAnsiTheme="majorHAnsi" w:cstheme="minorHAnsi"/>
                  <w:sz w:val="22"/>
                  <w:szCs w:val="22"/>
                </w:rPr>
                <w:endnoteReference w:id="3"/>
              </w:r>
              <w:r w:rsidRPr="00871191">
                <w:rPr>
                  <w:rFonts w:asciiTheme="majorHAnsi" w:hAnsiTheme="majorHAnsi" w:cstheme="majorHAnsi"/>
                  <w:sz w:val="22"/>
                  <w:szCs w:val="22"/>
                  <w:vertAlign w:val="superscript"/>
                </w:rPr>
                <w:endnoteReference w:id="4"/>
              </w:r>
              <w:r w:rsidRPr="00871191">
                <w:rPr>
                  <w:rFonts w:asciiTheme="majorHAnsi" w:hAnsiTheme="majorHAnsi" w:cstheme="majorHAnsi"/>
                  <w:b/>
                  <w:sz w:val="22"/>
                  <w:szCs w:val="22"/>
                  <w:vertAlign w:val="superscript"/>
                </w:rPr>
                <w:t>,</w:t>
              </w:r>
              <w:proofErr w:type="gramEnd"/>
              <w:r w:rsidRPr="00C37B37">
                <w:rPr>
                  <w:rFonts w:asciiTheme="majorHAnsi" w:hAnsiTheme="majorHAnsi" w:cstheme="majorHAnsi"/>
                  <w:sz w:val="22"/>
                  <w:szCs w:val="22"/>
                  <w:vertAlign w:val="superscript"/>
                </w:rPr>
                <w:endnoteReference w:id="5"/>
              </w:r>
            </w:p>
            <w:p w14:paraId="04A35C45" w14:textId="77777777" w:rsidR="00AD37EF" w:rsidRDefault="00AD37EF" w:rsidP="00AD37EF">
              <w:pPr>
                <w:tabs>
                  <w:tab w:val="left" w:pos="1080"/>
                </w:tabs>
                <w:spacing w:after="0"/>
                <w:rPr>
                  <w:rFonts w:asciiTheme="majorHAnsi" w:hAnsiTheme="majorHAnsi" w:cstheme="majorHAnsi"/>
                  <w:sz w:val="22"/>
                  <w:szCs w:val="22"/>
                </w:rPr>
              </w:pPr>
            </w:p>
            <w:p w14:paraId="0A17726D" w14:textId="77777777" w:rsidR="00AD37EF" w:rsidRDefault="00AD37EF" w:rsidP="00AD37EF">
              <w:pPr>
                <w:tabs>
                  <w:tab w:val="left" w:pos="1080"/>
                </w:tabs>
                <w:spacing w:after="0"/>
                <w:rPr>
                  <w:rFonts w:asciiTheme="majorHAnsi" w:hAnsiTheme="majorHAnsi" w:cstheme="majorHAnsi"/>
                  <w:sz w:val="22"/>
                  <w:szCs w:val="22"/>
                </w:rPr>
              </w:pPr>
              <w:r w:rsidRPr="001D0089"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  <w:t xml:space="preserve">It’s clear: </w:t>
              </w:r>
              <w:r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  <w:t>B</w:t>
              </w:r>
              <w:r w:rsidRPr="001D0089"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  <w:t xml:space="preserve">uilding safe routes to school in </w:t>
              </w:r>
              <w:r w:rsidRPr="001D0089">
                <w:rPr>
                  <w:rStyle w:val="AHAHeading"/>
                  <w:rFonts w:eastAsiaTheme="majorEastAsia" w:cstheme="majorBidi"/>
                  <w:b w:val="0"/>
                  <w:bCs/>
                  <w:sz w:val="22"/>
                  <w:szCs w:val="22"/>
                </w:rPr>
                <w:t>[STATE]</w:t>
              </w:r>
              <w:r w:rsidRPr="001D0089"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  <w:t xml:space="preserve"> is one of the most effective ways to help our children grow up to be the healthy, active, and safe adults we want them to be.</w:t>
              </w:r>
              <w:r>
                <w:rPr>
                  <w:rFonts w:asciiTheme="majorHAnsi" w:hAnsiTheme="majorHAnsi" w:cstheme="majorHAnsi"/>
                  <w:sz w:val="22"/>
                  <w:szCs w:val="22"/>
                </w:rPr>
                <w:t xml:space="preserve"> </w:t>
              </w:r>
            </w:p>
            <w:p w14:paraId="408D6B48" w14:textId="77777777" w:rsidR="00AD37EF" w:rsidRDefault="00AD37EF" w:rsidP="00AD37EF">
              <w:pPr>
                <w:tabs>
                  <w:tab w:val="left" w:pos="1080"/>
                </w:tabs>
                <w:spacing w:after="0"/>
                <w:rPr>
                  <w:rFonts w:asciiTheme="majorHAnsi" w:hAnsiTheme="majorHAnsi" w:cstheme="majorHAnsi"/>
                  <w:sz w:val="22"/>
                  <w:szCs w:val="22"/>
                </w:rPr>
              </w:pPr>
            </w:p>
            <w:p w14:paraId="0C597F07" w14:textId="77777777" w:rsidR="00AD37EF" w:rsidRDefault="00AD37EF" w:rsidP="00AD37EF">
              <w:pPr>
                <w:tabs>
                  <w:tab w:val="left" w:pos="1080"/>
                </w:tabs>
                <w:spacing w:after="0"/>
                <w:rPr>
                  <w:rFonts w:asciiTheme="majorHAnsi" w:hAnsiTheme="majorHAnsi" w:cstheme="majorHAnsi"/>
                  <w:sz w:val="22"/>
                  <w:szCs w:val="22"/>
                </w:rPr>
              </w:pPr>
              <w:r>
                <w:rPr>
                  <w:rFonts w:asciiTheme="majorHAnsi" w:hAnsiTheme="majorHAnsi" w:cstheme="majorHAnsi"/>
                  <w:sz w:val="22"/>
                  <w:szCs w:val="22"/>
                </w:rPr>
                <w:t xml:space="preserve">Need more convincing? Here are the facts: </w:t>
              </w:r>
            </w:p>
            <w:p w14:paraId="606AE929" w14:textId="77777777" w:rsidR="00AD37EF" w:rsidRDefault="00AD37EF" w:rsidP="00AD37EF">
              <w:pPr>
                <w:pStyle w:val="AHABullets"/>
                <w:numPr>
                  <w:ilvl w:val="0"/>
                  <w:numId w:val="16"/>
                </w:numPr>
                <w:spacing w:after="0"/>
                <w:ind w:left="360"/>
                <w:contextualSpacing w:val="0"/>
                <w:outlineLvl w:val="9"/>
              </w:pPr>
              <w:r>
                <w:t>Safety is a critical need for children walking or biking to school: F</w:t>
              </w:r>
              <w:r w:rsidRPr="009B4860">
                <w:t>rom 2000 to 2006, 30% of traffic-related deaths among children between ages 5 and 15 happened while walking or bicycling.</w:t>
              </w:r>
              <w:r w:rsidRPr="009B4860">
                <w:rPr>
                  <w:rStyle w:val="EndnoteReference"/>
                  <w:rFonts w:cstheme="minorHAnsi"/>
                </w:rPr>
                <w:endnoteReference w:id="6"/>
              </w:r>
              <w:r w:rsidRPr="009B4860">
                <w:t xml:space="preserve">  </w:t>
              </w:r>
            </w:p>
            <w:p w14:paraId="007FBDE3" w14:textId="77777777" w:rsidR="00AD37EF" w:rsidRPr="009B4860" w:rsidRDefault="00AD37EF" w:rsidP="00AD37EF">
              <w:pPr>
                <w:pStyle w:val="AHABullets"/>
                <w:numPr>
                  <w:ilvl w:val="0"/>
                  <w:numId w:val="16"/>
                </w:numPr>
                <w:spacing w:after="0"/>
                <w:ind w:left="360"/>
                <w:contextualSpacing w:val="0"/>
                <w:outlineLvl w:val="9"/>
              </w:pPr>
              <w:r w:rsidRPr="009B4860">
                <w:t>S</w:t>
              </w:r>
              <w:r>
                <w:t>afe Routes to School</w:t>
              </w:r>
              <w:r w:rsidRPr="009B4860">
                <w:t xml:space="preserve"> </w:t>
              </w:r>
              <w:r>
                <w:t xml:space="preserve">initiatives help teach safety through </w:t>
              </w:r>
              <w:r w:rsidRPr="009B4860">
                <w:t>education programs</w:t>
              </w:r>
              <w:r>
                <w:t xml:space="preserve">: These important lessons in </w:t>
              </w:r>
              <w:r w:rsidRPr="009B4860">
                <w:t>walking and bicycling safety</w:t>
              </w:r>
              <w:r>
                <w:t xml:space="preserve"> are taught</w:t>
              </w:r>
              <w:r w:rsidRPr="009B4860">
                <w:t xml:space="preserve"> at a young age</w:t>
              </w:r>
              <w:r>
                <w:t xml:space="preserve"> and</w:t>
              </w:r>
              <w:r w:rsidRPr="009B4860">
                <w:t xml:space="preserve"> complement street-scale improvements, helping to prevent and reduce injuries.</w:t>
              </w:r>
            </w:p>
            <w:p w14:paraId="3FA467D6" w14:textId="77777777" w:rsidR="00AD37EF" w:rsidRDefault="00AD37EF" w:rsidP="00AD37EF">
              <w:pPr>
                <w:pStyle w:val="AHABullets"/>
                <w:numPr>
                  <w:ilvl w:val="0"/>
                  <w:numId w:val="16"/>
                </w:numPr>
                <w:spacing w:after="0"/>
                <w:ind w:left="360"/>
                <w:contextualSpacing w:val="0"/>
                <w:outlineLvl w:val="9"/>
                <w:rPr>
                  <w:rFonts w:cstheme="minorHAnsi"/>
                </w:rPr>
              </w:pPr>
              <w:r>
                <w:t>It works: A recent study of Safe Routes to School</w:t>
              </w:r>
              <w:r w:rsidRPr="009B4860">
                <w:t xml:space="preserve"> projects in New York City </w:t>
              </w:r>
              <w:r>
                <w:t>found that census tracts with Safe Routes to School</w:t>
              </w:r>
              <w:r w:rsidRPr="009B4860">
                <w:t xml:space="preserve"> interventions saw a 44% decline in school-aged pedestrian </w:t>
              </w:r>
              <w:r>
                <w:t>injuries</w:t>
              </w:r>
              <w:r w:rsidRPr="009B4860">
                <w:t xml:space="preserve"> during school travel hours while locations with</w:t>
              </w:r>
              <w:r>
                <w:t xml:space="preserve">out </w:t>
              </w:r>
              <w:r w:rsidRPr="009B4860">
                <w:t>stayed the same.</w:t>
              </w:r>
              <w:r w:rsidRPr="009B4860">
                <w:rPr>
                  <w:rStyle w:val="EndnoteReference"/>
                  <w:rFonts w:cstheme="minorHAnsi"/>
                </w:rPr>
                <w:endnoteReference w:id="7"/>
              </w:r>
              <w:r>
                <w:rPr>
                  <w:rFonts w:cstheme="minorHAnsi"/>
                </w:rPr>
                <w:tab/>
              </w:r>
            </w:p>
            <w:p w14:paraId="21304354" w14:textId="77777777" w:rsidR="00AD37EF" w:rsidRPr="001F325B" w:rsidRDefault="00AD37EF" w:rsidP="00AD37EF">
              <w:pPr>
                <w:pStyle w:val="AHABullets"/>
                <w:numPr>
                  <w:ilvl w:val="0"/>
                  <w:numId w:val="16"/>
                </w:numPr>
                <w:spacing w:after="0"/>
                <w:ind w:left="360"/>
                <w:contextualSpacing w:val="0"/>
                <w:outlineLvl w:val="9"/>
              </w:pPr>
              <w:r>
                <w:t xml:space="preserve">Safe Routes to School initiatives help kids stay healthy: </w:t>
              </w:r>
              <w:r w:rsidRPr="00BD4406">
                <w:t>In the face of a childhood obesity rate that has tripled since 1963</w:t>
              </w:r>
              <w:r>
                <w:t>;</w:t>
              </w:r>
              <w:r w:rsidRPr="00BD4406">
                <w:rPr>
                  <w:vertAlign w:val="superscript"/>
                </w:rPr>
                <w:endnoteReference w:id="8"/>
              </w:r>
              <w:r w:rsidRPr="00BD4406">
                <w:t xml:space="preserve"> these safe routes are crucial for </w:t>
              </w:r>
              <w:r>
                <w:t xml:space="preserve">helping our children get the CDC-recommended </w:t>
              </w:r>
              <w:r w:rsidRPr="00F963D5">
                <w:t>60 minutes of physical activity each day</w:t>
              </w:r>
              <w:r>
                <w:t>.</w:t>
              </w:r>
              <w:r w:rsidRPr="00F963D5">
                <w:rPr>
                  <w:vertAlign w:val="superscript"/>
                </w:rPr>
                <w:endnoteReference w:id="9"/>
              </w:r>
              <w:r w:rsidRPr="001F325B">
                <w:rPr>
                  <w:rFonts w:cstheme="minorHAnsi"/>
                </w:rPr>
                <w:t xml:space="preserve"> </w:t>
              </w:r>
            </w:p>
            <w:p w14:paraId="5393B080" w14:textId="77777777" w:rsidR="00AD37EF" w:rsidRDefault="00AD37EF" w:rsidP="00AD37EF">
              <w:pPr>
                <w:pStyle w:val="AHABullets"/>
                <w:numPr>
                  <w:ilvl w:val="0"/>
                  <w:numId w:val="16"/>
                </w:numPr>
                <w:spacing w:after="0"/>
                <w:ind w:left="360"/>
                <w:contextualSpacing w:val="0"/>
                <w:outlineLvl w:val="9"/>
                <w:rPr>
                  <w:rFonts w:cstheme="minorHAnsi"/>
                </w:rPr>
              </w:pPr>
              <w:r w:rsidRPr="001F325B">
                <w:t xml:space="preserve">One California-based study reported that walking and bicycling increased anywhere from 20% to </w:t>
              </w:r>
              <w:r w:rsidRPr="009B4860">
                <w:t xml:space="preserve">200% </w:t>
              </w:r>
              <w:r>
                <w:t>at schools that received Safe Routes to School</w:t>
              </w:r>
              <w:r w:rsidRPr="009B4860">
                <w:t xml:space="preserve"> funding for infrastructure improvements</w:t>
              </w:r>
              <w:r w:rsidRPr="009B4860">
                <w:rPr>
                  <w:rFonts w:cstheme="minorHAnsi"/>
                </w:rPr>
                <w:t>.</w:t>
              </w:r>
              <w:r w:rsidRPr="009B4860">
                <w:rPr>
                  <w:rStyle w:val="EndnoteReference"/>
                  <w:rFonts w:cstheme="minorHAnsi"/>
                </w:rPr>
                <w:endnoteReference w:id="10"/>
              </w:r>
            </w:p>
            <w:p w14:paraId="63E7072C" w14:textId="77777777" w:rsidR="00AD37EF" w:rsidRPr="009B4860" w:rsidRDefault="00AD37EF" w:rsidP="00AD37EF">
              <w:pPr>
                <w:pStyle w:val="AHABullets"/>
                <w:numPr>
                  <w:ilvl w:val="0"/>
                  <w:numId w:val="0"/>
                </w:numPr>
                <w:spacing w:after="0"/>
                <w:ind w:left="360"/>
                <w:rPr>
                  <w:rFonts w:cstheme="minorHAnsi"/>
                </w:rPr>
              </w:pPr>
            </w:p>
            <w:p w14:paraId="310B19AC" w14:textId="77777777" w:rsidR="00AD37EF" w:rsidRPr="001D0089" w:rsidRDefault="00AD37EF" w:rsidP="00AD37EF">
              <w:pPr>
                <w:tabs>
                  <w:tab w:val="left" w:pos="1080"/>
                </w:tabs>
                <w:spacing w:after="0"/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</w:pPr>
              <w:r w:rsidRPr="001D0089"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  <w:t>Of course, Safe Routes to School is not just for the kids, it’s for the whole community</w:t>
              </w:r>
              <w:r>
                <w:rPr>
                  <w:rStyle w:val="AHAHeading"/>
                  <w:rFonts w:eastAsiaTheme="majorEastAsia" w:cstheme="majorBidi"/>
                  <w:bCs/>
                  <w:sz w:val="22"/>
                  <w:szCs w:val="22"/>
                </w:rPr>
                <w:t>.</w:t>
              </w:r>
            </w:p>
            <w:p w14:paraId="11E4AA89" w14:textId="77777777" w:rsidR="00AD37EF" w:rsidRPr="00D0205D" w:rsidRDefault="00AD37EF" w:rsidP="00AD37EF">
              <w:pPr>
                <w:pStyle w:val="AHABullets"/>
                <w:numPr>
                  <w:ilvl w:val="0"/>
                  <w:numId w:val="16"/>
                </w:numPr>
                <w:spacing w:after="0"/>
                <w:ind w:left="360"/>
                <w:contextualSpacing w:val="0"/>
                <w:outlineLvl w:val="9"/>
              </w:pPr>
              <w:r>
                <w:t>If more children bike or walk to school, that means parents drive less, ultimately reducing</w:t>
              </w:r>
              <w:r w:rsidRPr="00D0205D">
                <w:t xml:space="preserve"> traffic, road congestion</w:t>
              </w:r>
              <w:r>
                <w:t>,</w:t>
              </w:r>
              <w:r w:rsidRPr="00D0205D">
                <w:t xml:space="preserve"> </w:t>
              </w:r>
              <w:r>
                <w:t xml:space="preserve">and carbon emissions, </w:t>
              </w:r>
              <w:r w:rsidRPr="00D0205D">
                <w:t>improving air quality around schools.</w:t>
              </w:r>
              <w:r w:rsidRPr="00D0205D">
                <w:rPr>
                  <w:rStyle w:val="EndnoteReference"/>
                  <w:rFonts w:cstheme="minorHAnsi"/>
                </w:rPr>
                <w:endnoteReference w:id="11"/>
              </w:r>
              <w:r w:rsidRPr="00D0205D">
                <w:rPr>
                  <w:vertAlign w:val="superscript"/>
                </w:rPr>
                <w:t xml:space="preserve">, </w:t>
              </w:r>
              <w:r w:rsidRPr="00D0205D">
                <w:rPr>
                  <w:rStyle w:val="EndnoteReference"/>
                  <w:rFonts w:cstheme="minorHAnsi"/>
                </w:rPr>
                <w:endnoteReference w:id="12"/>
              </w:r>
              <w:r w:rsidRPr="00D0205D">
                <w:rPr>
                  <w:vertAlign w:val="superscript"/>
                </w:rPr>
                <w:t xml:space="preserve">, </w:t>
              </w:r>
              <w:r w:rsidRPr="00D0205D">
                <w:rPr>
                  <w:rStyle w:val="EndnoteReference"/>
                  <w:rFonts w:cstheme="minorHAnsi"/>
                </w:rPr>
                <w:endnoteReference w:id="13"/>
              </w:r>
            </w:p>
            <w:p w14:paraId="0C6F1573" w14:textId="77777777" w:rsidR="00AD37EF" w:rsidRPr="00D0205D" w:rsidRDefault="00AD37EF" w:rsidP="00AD37EF">
              <w:pPr>
                <w:pStyle w:val="AHABullets"/>
                <w:numPr>
                  <w:ilvl w:val="0"/>
                  <w:numId w:val="16"/>
                </w:numPr>
                <w:spacing w:after="0"/>
                <w:ind w:left="360"/>
                <w:contextualSpacing w:val="0"/>
                <w:outlineLvl w:val="9"/>
              </w:pPr>
              <w:r>
                <w:t>Sidewalks and bike lanes would increase the</w:t>
              </w:r>
              <w:r w:rsidRPr="00D0205D">
                <w:t xml:space="preserve"> overall walkability and safety of </w:t>
              </w:r>
              <w:r>
                <w:t xml:space="preserve">our </w:t>
              </w:r>
              <w:r w:rsidRPr="00D0205D">
                <w:t xml:space="preserve">neighborhoods while </w:t>
              </w:r>
              <w:r>
                <w:t>promoting the</w:t>
              </w:r>
              <w:r w:rsidRPr="00D0205D">
                <w:t xml:space="preserve"> further development of active and sustainable communities.</w:t>
              </w:r>
              <w:r w:rsidRPr="00D0205D">
                <w:rPr>
                  <w:rStyle w:val="EndnoteReference"/>
                  <w:rFonts w:cstheme="minorHAnsi"/>
                </w:rPr>
                <w:endnoteReference w:id="14"/>
              </w:r>
            </w:p>
            <w:p w14:paraId="1C96A1CA" w14:textId="77777777" w:rsidR="00AD37EF" w:rsidRPr="00D0205D" w:rsidRDefault="00AD37EF" w:rsidP="00AD37EF">
              <w:pPr>
                <w:pStyle w:val="AHABullets"/>
                <w:numPr>
                  <w:ilvl w:val="0"/>
                  <w:numId w:val="16"/>
                </w:numPr>
                <w:spacing w:after="0"/>
                <w:ind w:left="360"/>
                <w:contextualSpacing w:val="0"/>
                <w:outlineLvl w:val="9"/>
              </w:pPr>
              <w:r>
                <w:t>Simply put, sidewalks and bike lanes make for a convenient, social, and fun way for our entire community to stay physically active</w:t>
              </w:r>
              <w:r w:rsidRPr="00D0205D">
                <w:t>.</w:t>
              </w:r>
              <w:r w:rsidRPr="00D0205D">
                <w:rPr>
                  <w:rStyle w:val="EndnoteReference"/>
                  <w:rFonts w:cstheme="minorHAnsi"/>
                </w:rPr>
                <w:endnoteReference w:id="15"/>
              </w:r>
            </w:p>
            <w:p w14:paraId="59C98106" w14:textId="77777777" w:rsidR="00AD37EF" w:rsidRDefault="00AD37EF" w:rsidP="00AD37EF">
              <w:pPr>
                <w:tabs>
                  <w:tab w:val="left" w:pos="1080"/>
                </w:tabs>
                <w:spacing w:after="0"/>
                <w:rPr>
                  <w:rFonts w:asciiTheme="majorHAnsi" w:hAnsiTheme="majorHAnsi" w:cstheme="majorHAnsi"/>
                  <w:sz w:val="22"/>
                  <w:szCs w:val="22"/>
                </w:rPr>
              </w:pPr>
            </w:p>
            <w:p w14:paraId="22679754" w14:textId="7D8BCAC0" w:rsidR="00AD37EF" w:rsidRPr="00A51C43" w:rsidRDefault="00261E21" w:rsidP="00AD37EF">
              <w:pPr>
                <w:tabs>
                  <w:tab w:val="left" w:pos="1080"/>
                </w:tabs>
                <w:spacing w:after="0"/>
                <w:rPr>
                  <w:rFonts w:asciiTheme="majorHAnsi" w:hAnsiTheme="majorHAnsi" w:cstheme="majorHAnsi"/>
                  <w:sz w:val="22"/>
                  <w:szCs w:val="22"/>
                </w:rPr>
              </w:pPr>
              <w:r w:rsidRPr="009F79A5">
                <w:rPr>
                  <w:noProof/>
                  <w:sz w:val="21"/>
                  <w:szCs w:val="21"/>
                </w:rPr>
                <w:drawing>
                  <wp:anchor distT="0" distB="0" distL="114300" distR="114300" simplePos="0" relativeHeight="251659264" behindDoc="0" locked="0" layoutInCell="1" allowOverlap="1" wp14:anchorId="2156655D" wp14:editId="5F1FF014">
                    <wp:simplePos x="0" y="0"/>
                    <wp:positionH relativeFrom="margin">
                      <wp:posOffset>-219075</wp:posOffset>
                    </wp:positionH>
                    <wp:positionV relativeFrom="paragraph">
                      <wp:posOffset>461010</wp:posOffset>
                    </wp:positionV>
                    <wp:extent cx="184785" cy="615950"/>
                    <wp:effectExtent l="0" t="0" r="5715" b="0"/>
                    <wp:wrapNone/>
                    <wp:docPr id="2" name="Picture 2" descr="Macintosh HD:Users:e016608:Desktop:Untitled-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Macintosh HD:Users:e016608:Desktop:Untitled-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478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AD37EF">
                <w:rPr>
                  <w:rFonts w:asciiTheme="majorHAnsi" w:hAnsiTheme="majorHAnsi" w:cstheme="majorHAnsi"/>
                  <w:sz w:val="22"/>
                  <w:szCs w:val="22"/>
                </w:rPr>
                <w:t xml:space="preserve">As a decision maker in </w:t>
              </w:r>
              <w:r w:rsidR="00AD37EF">
                <w:rPr>
                  <w:rFonts w:asciiTheme="majorHAnsi" w:hAnsiTheme="majorHAnsi" w:cstheme="majorHAnsi"/>
                  <w:b/>
                  <w:sz w:val="22"/>
                  <w:szCs w:val="22"/>
                </w:rPr>
                <w:t>[STATE]</w:t>
              </w:r>
              <w:r w:rsidR="00AD37EF">
                <w:rPr>
                  <w:rFonts w:asciiTheme="majorHAnsi" w:hAnsiTheme="majorHAnsi" w:cstheme="majorHAnsi"/>
                  <w:sz w:val="22"/>
                  <w:szCs w:val="22"/>
                </w:rPr>
                <w:t>, you can strengthen our community by making safe and healthy lifestyle choices easy for our children and</w:t>
              </w:r>
              <w:r>
                <w:rPr>
                  <w:rFonts w:asciiTheme="majorHAnsi" w:hAnsiTheme="majorHAnsi" w:cstheme="majorHAnsi"/>
                  <w:sz w:val="22"/>
                  <w:szCs w:val="22"/>
                </w:rPr>
                <w:t xml:space="preserve"> for all of us. We urge you to support fully funding</w:t>
              </w:r>
              <w:r w:rsidR="00AD37EF">
                <w:rPr>
                  <w:rFonts w:asciiTheme="majorHAnsi" w:hAnsiTheme="majorHAnsi" w:cstheme="majorHAnsi"/>
                  <w:sz w:val="22"/>
                  <w:szCs w:val="22"/>
                </w:rPr>
                <w:t xml:space="preserve"> Safe Routes to School programs. </w:t>
              </w:r>
              <w:r w:rsidR="00AD37EF">
                <w:rPr>
                  <w:rFonts w:asciiTheme="majorHAnsi" w:hAnsiTheme="majorHAnsi" w:cstheme="majorHAnsi"/>
                  <w:sz w:val="22"/>
                  <w:szCs w:val="22"/>
                </w:rPr>
                <w:br/>
              </w:r>
            </w:p>
            <w:p w14:paraId="7B252450" w14:textId="1976CC64" w:rsidR="00AD37EF" w:rsidRPr="001D0089" w:rsidRDefault="00AD37EF" w:rsidP="00AD37EF">
              <w:pPr>
                <w:pStyle w:val="AHABodyCopy"/>
                <w:spacing w:after="0"/>
                <w:rPr>
                  <w:b/>
                  <w:color w:val="E73E30"/>
                </w:rPr>
              </w:pPr>
              <w:r>
                <w:rPr>
                  <w:b/>
                  <w:color w:val="E73E30"/>
                </w:rPr>
                <w:t xml:space="preserve">Safe Routes to School are </w:t>
              </w:r>
              <w:r w:rsidRPr="00EF1E1B">
                <w:rPr>
                  <w:b/>
                  <w:color w:val="E73E30"/>
                </w:rPr>
                <w:t>good for the economy too: Studies have found that health care costs associated with physical inactivity decrease by almost $3 for every $1 invested in safe pathways for pedestrians and cyclists.</w:t>
              </w:r>
              <w:r w:rsidRPr="00EF1E1B">
                <w:rPr>
                  <w:b/>
                  <w:color w:val="E73E30"/>
                  <w:vertAlign w:val="superscript"/>
                </w:rPr>
                <w:endnoteReference w:id="16"/>
              </w:r>
            </w:p>
          </w:sdtContent>
        </w:sdt>
        <w:p w14:paraId="6F4D980C" w14:textId="77777777" w:rsidR="00261E21" w:rsidRDefault="00261E21" w:rsidP="00AD37EF">
          <w:pPr>
            <w:pStyle w:val="AHABodyCopy"/>
            <w:spacing w:after="0"/>
            <w:rPr>
              <w:b/>
              <w:color w:val="E73E30"/>
            </w:rPr>
          </w:pPr>
        </w:p>
        <w:p w14:paraId="0538BBBE" w14:textId="76C07320" w:rsidR="00CA7467" w:rsidRPr="00AD37EF" w:rsidRDefault="00AD37EF" w:rsidP="00AD37EF">
          <w:pPr>
            <w:pStyle w:val="AHABodyCopy"/>
            <w:spacing w:after="0"/>
          </w:pPr>
          <w:r w:rsidRPr="007A16B4">
            <w:rPr>
              <w:b/>
              <w:color w:val="E73E30"/>
            </w:rPr>
            <w:lastRenderedPageBreak/>
            <w:t>SOUR</w:t>
          </w:r>
          <w:r w:rsidRPr="00EF1E1B">
            <w:rPr>
              <w:b/>
              <w:color w:val="E73E30"/>
            </w:rPr>
            <w:t>CES</w:t>
          </w:r>
        </w:p>
      </w:sdtContent>
    </w:sdt>
    <w:bookmarkStart w:id="0" w:name="_GoBack" w:displacedByCustomXml="prev"/>
    <w:bookmarkEnd w:id="0" w:displacedByCustomXml="prev"/>
    <w:sectPr w:rsidR="00CA7467" w:rsidRPr="00AD37EF" w:rsidSect="00261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C806F" w14:textId="77777777" w:rsidR="006720E2" w:rsidRDefault="008120B4">
      <w:pPr>
        <w:spacing w:after="0"/>
      </w:pPr>
      <w:r>
        <w:separator/>
      </w:r>
    </w:p>
  </w:endnote>
  <w:endnote w:type="continuationSeparator" w:id="0">
    <w:p w14:paraId="30D75E45" w14:textId="77777777" w:rsidR="006720E2" w:rsidRDefault="008120B4">
      <w:pPr>
        <w:spacing w:after="0"/>
      </w:pPr>
      <w:r>
        <w:continuationSeparator/>
      </w:r>
    </w:p>
  </w:endnote>
  <w:endnote w:id="1">
    <w:p w14:paraId="3CE88BA3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</w:t>
      </w:r>
      <w:r w:rsidRPr="00CF6986">
        <w:rPr>
          <w:rFonts w:asciiTheme="majorHAnsi" w:hAnsiTheme="majorHAnsi" w:cstheme="majorHAnsi"/>
          <w:lang w:val="es-AR"/>
        </w:rPr>
        <w:t xml:space="preserve">Barros RM, et al. </w:t>
      </w:r>
      <w:r w:rsidRPr="00CF6986">
        <w:rPr>
          <w:rFonts w:asciiTheme="majorHAnsi" w:hAnsiTheme="majorHAnsi" w:cstheme="majorHAnsi"/>
        </w:rPr>
        <w:t xml:space="preserve">School recess and group classroom behavior. </w:t>
      </w:r>
      <w:r w:rsidRPr="00CF6986">
        <w:rPr>
          <w:rFonts w:asciiTheme="majorHAnsi" w:hAnsiTheme="majorHAnsi" w:cstheme="majorHAnsi"/>
          <w:i/>
        </w:rPr>
        <w:t>Pediatrics</w:t>
      </w:r>
      <w:r w:rsidRPr="00CF6986">
        <w:rPr>
          <w:rFonts w:asciiTheme="majorHAnsi" w:hAnsiTheme="majorHAnsi" w:cstheme="majorHAnsi"/>
        </w:rPr>
        <w:t xml:space="preserve"> 123.2 (2009): 431–436.</w:t>
      </w:r>
    </w:p>
  </w:endnote>
  <w:endnote w:id="2">
    <w:p w14:paraId="4041B233" w14:textId="77777777" w:rsidR="00AD37EF" w:rsidRPr="00CF6986" w:rsidRDefault="00AD37EF" w:rsidP="00AD37EF">
      <w:pPr>
        <w:spacing w:after="0"/>
        <w:ind w:firstLine="360"/>
        <w:rPr>
          <w:rFonts w:asciiTheme="majorHAnsi" w:hAnsiTheme="majorHAnsi" w:cstheme="majorHAnsi"/>
          <w:sz w:val="20"/>
          <w:szCs w:val="20"/>
        </w:rPr>
      </w:pPr>
      <w:r w:rsidRPr="00CF6986">
        <w:rPr>
          <w:rStyle w:val="EndnoteReference"/>
          <w:rFonts w:asciiTheme="majorHAnsi" w:hAnsiTheme="majorHAnsi" w:cstheme="majorHAnsi"/>
          <w:sz w:val="20"/>
          <w:szCs w:val="20"/>
        </w:rPr>
        <w:endnoteRef/>
      </w:r>
      <w:r w:rsidRPr="00CF6986">
        <w:rPr>
          <w:rFonts w:asciiTheme="majorHAnsi" w:hAnsiTheme="majorHAnsi" w:cstheme="majorHAnsi"/>
          <w:sz w:val="20"/>
          <w:szCs w:val="20"/>
        </w:rPr>
        <w:t xml:space="preserve"> </w:t>
      </w:r>
      <w:r w:rsidRPr="00CF6986">
        <w:rPr>
          <w:rFonts w:asciiTheme="majorHAnsi" w:eastAsia="Times New Roman" w:hAnsiTheme="majorHAnsi" w:cstheme="majorHAnsi"/>
          <w:color w:val="333333"/>
          <w:sz w:val="20"/>
          <w:szCs w:val="20"/>
        </w:rPr>
        <w:t xml:space="preserve">Centers for Disease Control and Prevention. </w:t>
      </w:r>
      <w:r w:rsidRPr="00CF6986">
        <w:rPr>
          <w:rFonts w:asciiTheme="majorHAnsi" w:eastAsia="Times New Roman" w:hAnsiTheme="majorHAnsi" w:cstheme="majorHAnsi"/>
          <w:i/>
          <w:color w:val="333333"/>
          <w:sz w:val="20"/>
          <w:szCs w:val="20"/>
        </w:rPr>
        <w:t>The Association between School-based Physical Activity, Including Physical Education, and Academic Performance.</w:t>
      </w:r>
      <w:r w:rsidRPr="00CF6986">
        <w:rPr>
          <w:rFonts w:asciiTheme="majorHAnsi" w:eastAsia="Times New Roman" w:hAnsiTheme="majorHAnsi" w:cstheme="majorHAnsi"/>
          <w:color w:val="333333"/>
          <w:sz w:val="20"/>
          <w:szCs w:val="20"/>
        </w:rPr>
        <w:t xml:space="preserve"> Report. U.S. Department of Health and Human Services, July 2010. Available at: </w:t>
      </w:r>
      <w:hyperlink r:id="rId1" w:history="1">
        <w:r w:rsidRPr="00CF6986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http://www.cdc.gov/healthyyouth/health_and_academics/pdf/pa-pe_paper.pdf</w:t>
        </w:r>
      </w:hyperlink>
      <w:r w:rsidRPr="00CF6986">
        <w:rPr>
          <w:rFonts w:asciiTheme="majorHAnsi" w:eastAsia="Times New Roman" w:hAnsiTheme="majorHAnsi" w:cstheme="majorHAnsi"/>
          <w:color w:val="333333"/>
          <w:sz w:val="20"/>
          <w:szCs w:val="20"/>
        </w:rPr>
        <w:t xml:space="preserve">. </w:t>
      </w:r>
    </w:p>
  </w:endnote>
  <w:endnote w:id="3">
    <w:p w14:paraId="335E1B08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“The Relationship Between Physical Activity, Weight, and Academic Achievement.” </w:t>
      </w:r>
      <w:r w:rsidRPr="00CF6986">
        <w:rPr>
          <w:rFonts w:asciiTheme="majorHAnsi" w:hAnsiTheme="majorHAnsi" w:cstheme="majorHAnsi"/>
          <w:i/>
        </w:rPr>
        <w:t>Resource Center: Research.</w:t>
      </w:r>
      <w:r w:rsidRPr="00CF6986">
        <w:rPr>
          <w:rFonts w:asciiTheme="majorHAnsi" w:hAnsiTheme="majorHAnsi" w:cstheme="majorHAnsi"/>
        </w:rPr>
        <w:t xml:space="preserve"> Safe Routes to Schools National Partnership. Web. &lt;</w:t>
      </w:r>
      <w:hyperlink r:id="rId2" w:history="1">
        <w:r w:rsidRPr="00CF6986">
          <w:rPr>
            <w:rStyle w:val="Hyperlink"/>
            <w:rFonts w:asciiTheme="majorHAnsi" w:hAnsiTheme="majorHAnsi" w:cstheme="majorHAnsi"/>
          </w:rPr>
          <w:t>http://www.saferoutespartnership.org/mediacenter/research/231169</w:t>
        </w:r>
      </w:hyperlink>
      <w:r w:rsidRPr="00CF6986">
        <w:rPr>
          <w:rFonts w:asciiTheme="majorHAnsi" w:hAnsiTheme="majorHAnsi" w:cstheme="majorHAnsi"/>
        </w:rPr>
        <w:t>&gt;.</w:t>
      </w:r>
    </w:p>
  </w:endnote>
  <w:endnote w:id="4">
    <w:p w14:paraId="3C3FC6D7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Alexander LM, et al. The broader impact of walking to school among adolescents: seven day </w:t>
      </w:r>
      <w:proofErr w:type="spellStart"/>
      <w:r w:rsidRPr="00CF6986">
        <w:rPr>
          <w:rFonts w:asciiTheme="majorHAnsi" w:hAnsiTheme="majorHAnsi" w:cstheme="majorHAnsi"/>
        </w:rPr>
        <w:t>accelerometry</w:t>
      </w:r>
      <w:proofErr w:type="spellEnd"/>
      <w:r w:rsidRPr="00CF6986">
        <w:rPr>
          <w:rFonts w:asciiTheme="majorHAnsi" w:hAnsiTheme="majorHAnsi" w:cstheme="majorHAnsi"/>
        </w:rPr>
        <w:t xml:space="preserve"> based study. </w:t>
      </w:r>
      <w:r w:rsidRPr="00CF6986">
        <w:rPr>
          <w:rFonts w:asciiTheme="majorHAnsi" w:hAnsiTheme="majorHAnsi" w:cstheme="majorHAnsi"/>
          <w:i/>
        </w:rPr>
        <w:t>BMJ</w:t>
      </w:r>
      <w:r w:rsidRPr="00CF6986">
        <w:rPr>
          <w:rFonts w:asciiTheme="majorHAnsi" w:hAnsiTheme="majorHAnsi" w:cstheme="majorHAnsi"/>
        </w:rPr>
        <w:t xml:space="preserve"> 331 (2005): 1061-1062.</w:t>
      </w:r>
    </w:p>
  </w:endnote>
  <w:endnote w:id="5">
    <w:p w14:paraId="75BC0423" w14:textId="77777777" w:rsidR="00AD37EF" w:rsidRPr="00CF6986" w:rsidRDefault="00AD37EF" w:rsidP="00AD37EF">
      <w:pPr>
        <w:spacing w:after="0"/>
        <w:ind w:firstLine="360"/>
        <w:rPr>
          <w:rFonts w:asciiTheme="majorHAnsi" w:hAnsiTheme="majorHAnsi" w:cstheme="majorHAnsi"/>
          <w:sz w:val="20"/>
          <w:szCs w:val="20"/>
        </w:rPr>
      </w:pPr>
      <w:r w:rsidRPr="00CF6986">
        <w:rPr>
          <w:rStyle w:val="EndnoteReference"/>
          <w:rFonts w:asciiTheme="majorHAnsi" w:hAnsiTheme="majorHAnsi" w:cstheme="majorHAnsi"/>
          <w:sz w:val="20"/>
          <w:szCs w:val="20"/>
        </w:rPr>
        <w:endnoteRef/>
      </w:r>
      <w:r w:rsidRPr="00CF6986">
        <w:rPr>
          <w:rFonts w:asciiTheme="majorHAnsi" w:hAnsiTheme="majorHAnsi" w:cstheme="majorHAnsi"/>
          <w:sz w:val="20"/>
          <w:szCs w:val="20"/>
        </w:rPr>
        <w:t xml:space="preserve"> </w:t>
      </w:r>
      <w:r w:rsidRPr="00CF6986">
        <w:rPr>
          <w:rFonts w:asciiTheme="majorHAnsi" w:eastAsia="Times New Roman" w:hAnsiTheme="majorHAnsi" w:cstheme="majorHAnsi"/>
          <w:color w:val="333333"/>
          <w:sz w:val="20"/>
          <w:szCs w:val="20"/>
        </w:rPr>
        <w:t xml:space="preserve">Cooper AR, et al. Commuting to School: Are Children Who Walk More Physically Active? </w:t>
      </w:r>
      <w:r w:rsidRPr="00CF6986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</w:rPr>
        <w:t>American Journal of Preventative Medicine.</w:t>
      </w:r>
      <w:r w:rsidRPr="00CF6986">
        <w:rPr>
          <w:rFonts w:asciiTheme="majorHAnsi" w:eastAsia="Times New Roman" w:hAnsiTheme="majorHAnsi" w:cstheme="majorHAnsi"/>
          <w:color w:val="333333"/>
          <w:sz w:val="20"/>
          <w:szCs w:val="20"/>
        </w:rPr>
        <w:t xml:space="preserve"> 25.4 (2003): 273-276.</w:t>
      </w:r>
    </w:p>
  </w:endnote>
  <w:endnote w:id="6">
    <w:p w14:paraId="48F7B158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</w:t>
      </w:r>
      <w:proofErr w:type="spellStart"/>
      <w:r w:rsidRPr="00CF6986">
        <w:rPr>
          <w:rFonts w:asciiTheme="majorHAnsi" w:hAnsiTheme="majorHAnsi" w:cstheme="majorHAnsi"/>
        </w:rPr>
        <w:t>Borse</w:t>
      </w:r>
      <w:proofErr w:type="spellEnd"/>
      <w:r w:rsidRPr="00CF6986">
        <w:rPr>
          <w:rFonts w:asciiTheme="majorHAnsi" w:hAnsiTheme="majorHAnsi" w:cstheme="majorHAnsi"/>
        </w:rPr>
        <w:t xml:space="preserve"> N, et al. </w:t>
      </w:r>
      <w:r w:rsidRPr="00CF6986">
        <w:rPr>
          <w:rFonts w:asciiTheme="majorHAnsi" w:hAnsiTheme="majorHAnsi" w:cstheme="majorHAnsi"/>
          <w:i/>
          <w:iCs/>
        </w:rPr>
        <w:t xml:space="preserve">CDC Childhood Injury Report: Patterns of Unintentional Injuries among 0-19 Year Olds in the United States, 2000-2006. </w:t>
      </w:r>
      <w:r w:rsidRPr="00CF6986">
        <w:rPr>
          <w:rFonts w:asciiTheme="majorHAnsi" w:hAnsiTheme="majorHAnsi" w:cstheme="majorHAnsi"/>
          <w:iCs/>
        </w:rPr>
        <w:t xml:space="preserve">Report. U.S. Department of Health and Human Services and Centers for Disease Control and Prevention, </w:t>
      </w:r>
      <w:r w:rsidRPr="00CF6986">
        <w:rPr>
          <w:rFonts w:asciiTheme="majorHAnsi" w:hAnsiTheme="majorHAnsi" w:cstheme="majorHAnsi"/>
        </w:rPr>
        <w:t xml:space="preserve">December 2008. Available at </w:t>
      </w:r>
      <w:hyperlink r:id="rId3" w:history="1">
        <w:r w:rsidRPr="00CF6986">
          <w:rPr>
            <w:rStyle w:val="Hyperlink"/>
            <w:rFonts w:asciiTheme="majorHAnsi" w:hAnsiTheme="majorHAnsi" w:cstheme="majorHAnsi"/>
          </w:rPr>
          <w:t>http://www.cdc.gov/SafeChild/images/CDC-ChildhoodInjury.pdf</w:t>
        </w:r>
      </w:hyperlink>
      <w:r w:rsidRPr="00CF6986">
        <w:rPr>
          <w:rFonts w:asciiTheme="majorHAnsi" w:hAnsiTheme="majorHAnsi" w:cstheme="majorHAnsi"/>
        </w:rPr>
        <w:t xml:space="preserve">. </w:t>
      </w:r>
    </w:p>
  </w:endnote>
  <w:endnote w:id="7">
    <w:p w14:paraId="615B55E8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DiMaggio C and </w:t>
      </w:r>
      <w:proofErr w:type="spellStart"/>
      <w:r w:rsidRPr="00CF6986">
        <w:rPr>
          <w:rFonts w:asciiTheme="majorHAnsi" w:hAnsiTheme="majorHAnsi" w:cstheme="majorHAnsi"/>
        </w:rPr>
        <w:t>Guohua</w:t>
      </w:r>
      <w:proofErr w:type="spellEnd"/>
      <w:r w:rsidRPr="00CF6986">
        <w:rPr>
          <w:rFonts w:asciiTheme="majorHAnsi" w:hAnsiTheme="majorHAnsi" w:cstheme="majorHAnsi"/>
        </w:rPr>
        <w:t xml:space="preserve"> L. Effectiveness of a Safe Routes to School Program in Preventing School-Aged Pedestrian Injury. </w:t>
      </w:r>
      <w:r w:rsidRPr="00CF6986">
        <w:rPr>
          <w:rFonts w:asciiTheme="majorHAnsi" w:hAnsiTheme="majorHAnsi" w:cstheme="majorHAnsi"/>
          <w:i/>
          <w:iCs/>
        </w:rPr>
        <w:t>Journal of Pediatrics</w:t>
      </w:r>
      <w:r w:rsidRPr="00CF6986">
        <w:rPr>
          <w:rFonts w:asciiTheme="majorHAnsi" w:hAnsiTheme="majorHAnsi" w:cstheme="majorHAnsi"/>
        </w:rPr>
        <w:t xml:space="preserve"> 131.2 (2013): 290-296.</w:t>
      </w:r>
    </w:p>
  </w:endnote>
  <w:endnote w:id="8">
    <w:p w14:paraId="07FB966D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</w:t>
      </w:r>
      <w:r w:rsidRPr="00CF6986">
        <w:rPr>
          <w:rFonts w:asciiTheme="majorHAnsi" w:hAnsiTheme="majorHAnsi" w:cstheme="majorHAnsi"/>
          <w:i/>
        </w:rPr>
        <w:t>Understanding Childhood Obesity: 2011 Statistical Sourcebook.</w:t>
      </w:r>
      <w:r w:rsidRPr="00CF6986">
        <w:rPr>
          <w:rFonts w:asciiTheme="majorHAnsi" w:hAnsiTheme="majorHAnsi" w:cstheme="majorHAnsi"/>
        </w:rPr>
        <w:t xml:space="preserve"> American Heart Association, 2011. Available at </w:t>
      </w:r>
      <w:hyperlink r:id="rId4" w:history="1">
        <w:r w:rsidRPr="00CF6986">
          <w:rPr>
            <w:rStyle w:val="Hyperlink"/>
            <w:rFonts w:asciiTheme="majorHAnsi" w:hAnsiTheme="majorHAnsi" w:cstheme="majorHAnsi"/>
          </w:rPr>
          <w:t>http://www.heart.org/idc/groups/heart-public/@wcm/@fc/documents/downloadable/ucm_428180.pdf</w:t>
        </w:r>
      </w:hyperlink>
      <w:r w:rsidRPr="00CF6986">
        <w:rPr>
          <w:rFonts w:asciiTheme="majorHAnsi" w:hAnsiTheme="majorHAnsi" w:cstheme="majorHAnsi"/>
        </w:rPr>
        <w:t>.</w:t>
      </w:r>
    </w:p>
  </w:endnote>
  <w:endnote w:id="9">
    <w:p w14:paraId="59C691B6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“How much physical activity do children need?” </w:t>
      </w:r>
      <w:r w:rsidRPr="00CF6986">
        <w:rPr>
          <w:rFonts w:asciiTheme="majorHAnsi" w:hAnsiTheme="majorHAnsi" w:cstheme="majorHAnsi"/>
          <w:i/>
        </w:rPr>
        <w:t>Physical Activity for Everyone</w:t>
      </w:r>
      <w:r w:rsidRPr="00CF6986">
        <w:rPr>
          <w:rFonts w:asciiTheme="majorHAnsi" w:hAnsiTheme="majorHAnsi" w:cstheme="majorHAnsi"/>
        </w:rPr>
        <w:t>. Centers for Disease Control and Prevention, 9 Nov. 2011. Web. &lt;</w:t>
      </w:r>
      <w:hyperlink r:id="rId5" w:history="1">
        <w:r w:rsidRPr="00CF6986">
          <w:rPr>
            <w:rStyle w:val="Hyperlink"/>
            <w:rFonts w:asciiTheme="majorHAnsi" w:hAnsiTheme="majorHAnsi" w:cstheme="majorHAnsi"/>
          </w:rPr>
          <w:t>http://www.cdc.gov/physicalactivity/everyone/guidelines/children.html</w:t>
        </w:r>
      </w:hyperlink>
      <w:r w:rsidRPr="00CF6986">
        <w:rPr>
          <w:rFonts w:asciiTheme="majorHAnsi" w:hAnsiTheme="majorHAnsi" w:cstheme="majorHAnsi"/>
        </w:rPr>
        <w:t xml:space="preserve">&gt;. </w:t>
      </w:r>
    </w:p>
  </w:endnote>
  <w:endnote w:id="10">
    <w:p w14:paraId="31D0E336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Orenstein M, Gutierrez N, Rice T, Cooper J, and Ragland D. </w:t>
      </w:r>
      <w:r w:rsidRPr="00CF6986">
        <w:rPr>
          <w:rFonts w:asciiTheme="majorHAnsi" w:hAnsiTheme="majorHAnsi" w:cstheme="majorHAnsi"/>
          <w:i/>
        </w:rPr>
        <w:t xml:space="preserve">Safe Routes to School Safety and Mobility Analysis. </w:t>
      </w:r>
      <w:r w:rsidRPr="00CF6986">
        <w:rPr>
          <w:rFonts w:asciiTheme="majorHAnsi" w:hAnsiTheme="majorHAnsi" w:cstheme="majorHAnsi"/>
        </w:rPr>
        <w:t xml:space="preserve">Report to the California Legislature. </w:t>
      </w:r>
      <w:r w:rsidRPr="00CF6986">
        <w:rPr>
          <w:rFonts w:asciiTheme="majorHAnsi" w:hAnsiTheme="majorHAnsi" w:cstheme="majorHAnsi"/>
          <w:iCs/>
        </w:rPr>
        <w:t xml:space="preserve">UC Berkeley Traffic Safety Center, April 2007. </w:t>
      </w:r>
      <w:r w:rsidRPr="00CF6986">
        <w:rPr>
          <w:rFonts w:asciiTheme="majorHAnsi" w:hAnsiTheme="majorHAnsi" w:cstheme="majorHAnsi"/>
        </w:rPr>
        <w:t xml:space="preserve">Available at: </w:t>
      </w:r>
      <w:hyperlink r:id="rId6" w:history="1">
        <w:r w:rsidRPr="00CF6986">
          <w:rPr>
            <w:rStyle w:val="Hyperlink"/>
            <w:rFonts w:asciiTheme="majorHAnsi" w:hAnsiTheme="majorHAnsi" w:cstheme="majorHAnsi"/>
          </w:rPr>
          <w:t>http://repositories.cdlib.org/its/tsc/UCB-TSC-RR-2007-1</w:t>
        </w:r>
      </w:hyperlink>
      <w:r w:rsidRPr="00CF6986">
        <w:rPr>
          <w:rFonts w:asciiTheme="majorHAnsi" w:hAnsiTheme="majorHAnsi" w:cstheme="majorHAnsi"/>
        </w:rPr>
        <w:t>.</w:t>
      </w:r>
    </w:p>
  </w:endnote>
  <w:endnote w:id="11">
    <w:p w14:paraId="35A95E44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</w:t>
      </w:r>
      <w:proofErr w:type="spellStart"/>
      <w:r w:rsidRPr="00CF6986">
        <w:rPr>
          <w:rFonts w:asciiTheme="majorHAnsi" w:hAnsiTheme="majorHAnsi" w:cstheme="majorHAnsi"/>
        </w:rPr>
        <w:t>Litman</w:t>
      </w:r>
      <w:proofErr w:type="spellEnd"/>
      <w:r w:rsidRPr="00CF6986">
        <w:rPr>
          <w:rFonts w:asciiTheme="majorHAnsi" w:hAnsiTheme="majorHAnsi" w:cstheme="majorHAnsi"/>
        </w:rPr>
        <w:t xml:space="preserve"> T. Can Smart Growth Policies Conserve Energy and Reduce Emissions?</w:t>
      </w:r>
      <w:r w:rsidRPr="00CF6986">
        <w:rPr>
          <w:rFonts w:asciiTheme="majorHAnsi" w:hAnsiTheme="majorHAnsi" w:cstheme="majorHAnsi"/>
          <w:i/>
        </w:rPr>
        <w:t xml:space="preserve"> Portland State University’s Center for Real Estate Quarterly</w:t>
      </w:r>
      <w:r w:rsidRPr="00CF6986">
        <w:rPr>
          <w:rFonts w:asciiTheme="majorHAnsi" w:hAnsiTheme="majorHAnsi" w:cstheme="majorHAnsi"/>
        </w:rPr>
        <w:t xml:space="preserve"> 5.2 (2011): 21-30.</w:t>
      </w:r>
    </w:p>
  </w:endnote>
  <w:endnote w:id="12">
    <w:p w14:paraId="3D9233C4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Frank LD, </w:t>
      </w:r>
      <w:proofErr w:type="spellStart"/>
      <w:r w:rsidRPr="00CF6986">
        <w:rPr>
          <w:rFonts w:asciiTheme="majorHAnsi" w:hAnsiTheme="majorHAnsi" w:cstheme="majorHAnsi"/>
        </w:rPr>
        <w:t>Sallis</w:t>
      </w:r>
      <w:proofErr w:type="spellEnd"/>
      <w:r w:rsidRPr="00CF6986">
        <w:rPr>
          <w:rFonts w:asciiTheme="majorHAnsi" w:hAnsiTheme="majorHAnsi" w:cstheme="majorHAnsi"/>
        </w:rPr>
        <w:t xml:space="preserve"> JF, et al. Many Pathways from Land Use to Health. </w:t>
      </w:r>
      <w:r w:rsidRPr="00CF6986">
        <w:rPr>
          <w:rFonts w:asciiTheme="majorHAnsi" w:hAnsiTheme="majorHAnsi" w:cstheme="majorHAnsi"/>
          <w:i/>
          <w:iCs/>
        </w:rPr>
        <w:t>Journal of the American Planning Association</w:t>
      </w:r>
      <w:r w:rsidRPr="00CF6986">
        <w:rPr>
          <w:rFonts w:asciiTheme="majorHAnsi" w:hAnsiTheme="majorHAnsi" w:cstheme="majorHAnsi"/>
        </w:rPr>
        <w:t xml:space="preserve"> 72.1 (2006): 75-87. </w:t>
      </w:r>
    </w:p>
  </w:endnote>
  <w:endnote w:id="13">
    <w:p w14:paraId="2CD8B09C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</w:t>
      </w:r>
      <w:r w:rsidRPr="00CF6986">
        <w:rPr>
          <w:rFonts w:asciiTheme="majorHAnsi" w:hAnsiTheme="majorHAnsi" w:cstheme="majorHAnsi"/>
          <w:i/>
        </w:rPr>
        <w:t>Travel and Environmental Implications of School Siting</w:t>
      </w:r>
      <w:r w:rsidRPr="00CF6986">
        <w:rPr>
          <w:rFonts w:asciiTheme="majorHAnsi" w:hAnsiTheme="majorHAnsi" w:cstheme="majorHAnsi"/>
        </w:rPr>
        <w:t xml:space="preserve">. Report. U.S. Environmental Protection Agency, October 2003. Available at: </w:t>
      </w:r>
      <w:hyperlink r:id="rId7" w:history="1">
        <w:r w:rsidRPr="00CF6986">
          <w:rPr>
            <w:rStyle w:val="Hyperlink"/>
            <w:rFonts w:asciiTheme="majorHAnsi" w:hAnsiTheme="majorHAnsi" w:cstheme="majorHAnsi"/>
          </w:rPr>
          <w:t>http://www.epa.gov/dced/pdf/school_travel.pdf</w:t>
        </w:r>
      </w:hyperlink>
      <w:r w:rsidRPr="00CF6986">
        <w:rPr>
          <w:rFonts w:asciiTheme="majorHAnsi" w:hAnsiTheme="majorHAnsi" w:cstheme="majorHAnsi"/>
        </w:rPr>
        <w:t>.</w:t>
      </w:r>
    </w:p>
  </w:endnote>
  <w:endnote w:id="14">
    <w:p w14:paraId="0FFC1250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“Safe Routes to School Technical Assistance Resource Center.”  </w:t>
      </w:r>
      <w:r w:rsidRPr="00CF6986">
        <w:rPr>
          <w:rFonts w:asciiTheme="majorHAnsi" w:hAnsiTheme="majorHAnsi" w:cstheme="majorHAnsi"/>
          <w:i/>
        </w:rPr>
        <w:t>Safe Routes to School.</w:t>
      </w:r>
      <w:r w:rsidRPr="00CF6986">
        <w:rPr>
          <w:rFonts w:asciiTheme="majorHAnsi" w:hAnsiTheme="majorHAnsi" w:cstheme="majorHAnsi"/>
        </w:rPr>
        <w:t xml:space="preserve"> California Active Communities. Web. &lt;</w:t>
      </w:r>
      <w:hyperlink r:id="rId8" w:history="1">
        <w:r w:rsidRPr="00CF6986">
          <w:rPr>
            <w:rStyle w:val="Hyperlink"/>
            <w:rFonts w:asciiTheme="majorHAnsi" w:hAnsiTheme="majorHAnsi" w:cstheme="majorHAnsi"/>
          </w:rPr>
          <w:t>http://www.caactivecommunities.org/our-projects/safe-routes-to-school/</w:t>
        </w:r>
      </w:hyperlink>
      <w:r w:rsidRPr="00CF6986">
        <w:rPr>
          <w:rFonts w:asciiTheme="majorHAnsi" w:hAnsiTheme="majorHAnsi" w:cstheme="majorHAnsi"/>
        </w:rPr>
        <w:t>&gt;.</w:t>
      </w:r>
    </w:p>
  </w:endnote>
  <w:endnote w:id="15">
    <w:p w14:paraId="54573F08" w14:textId="77777777" w:rsidR="00AD37EF" w:rsidRPr="00CF6986" w:rsidRDefault="00AD37EF" w:rsidP="00AD37EF">
      <w:pPr>
        <w:pStyle w:val="EndnoteText"/>
        <w:ind w:firstLine="360"/>
        <w:rPr>
          <w:rFonts w:asciiTheme="majorHAnsi" w:hAnsiTheme="majorHAnsi" w:cstheme="majorHAnsi"/>
        </w:rPr>
      </w:pPr>
      <w:r w:rsidRPr="00CF6986">
        <w:rPr>
          <w:rStyle w:val="EndnoteReference"/>
          <w:rFonts w:asciiTheme="majorHAnsi" w:hAnsiTheme="majorHAnsi" w:cstheme="majorHAnsi"/>
        </w:rPr>
        <w:endnoteRef/>
      </w:r>
      <w:r w:rsidRPr="00CF6986">
        <w:rPr>
          <w:rFonts w:asciiTheme="majorHAnsi" w:hAnsiTheme="majorHAnsi" w:cstheme="majorHAnsi"/>
        </w:rPr>
        <w:t xml:space="preserve"> “Safe Routes to School Technical Assistance Resource Center.”  </w:t>
      </w:r>
      <w:r w:rsidRPr="00CF6986">
        <w:rPr>
          <w:rFonts w:asciiTheme="majorHAnsi" w:hAnsiTheme="majorHAnsi" w:cstheme="majorHAnsi"/>
          <w:i/>
        </w:rPr>
        <w:t>Safe Routes to School.</w:t>
      </w:r>
      <w:r w:rsidRPr="00CF6986">
        <w:rPr>
          <w:rFonts w:asciiTheme="majorHAnsi" w:hAnsiTheme="majorHAnsi" w:cstheme="majorHAnsi"/>
        </w:rPr>
        <w:t xml:space="preserve"> California Active Communities. Web. &lt;</w:t>
      </w:r>
      <w:hyperlink r:id="rId9" w:history="1">
        <w:r w:rsidRPr="00CF6986">
          <w:rPr>
            <w:rStyle w:val="Hyperlink"/>
            <w:rFonts w:asciiTheme="majorHAnsi" w:hAnsiTheme="majorHAnsi" w:cstheme="majorHAnsi"/>
          </w:rPr>
          <w:t>http://www.caactivecommunities.org/our-projects/safe-routes-to-school/</w:t>
        </w:r>
      </w:hyperlink>
      <w:r w:rsidRPr="00CF6986">
        <w:rPr>
          <w:rFonts w:asciiTheme="majorHAnsi" w:hAnsiTheme="majorHAnsi" w:cstheme="majorHAnsi"/>
        </w:rPr>
        <w:t>&gt;.</w:t>
      </w:r>
    </w:p>
  </w:endnote>
  <w:endnote w:id="16">
    <w:p w14:paraId="321A0A0C" w14:textId="77777777" w:rsidR="00AD37EF" w:rsidRPr="00FA1FC2" w:rsidRDefault="00AD37EF" w:rsidP="00AD37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CF6986">
        <w:rPr>
          <w:rStyle w:val="EndnoteReference"/>
          <w:rFonts w:asciiTheme="majorHAnsi" w:hAnsiTheme="majorHAnsi" w:cstheme="majorHAnsi"/>
          <w:sz w:val="20"/>
          <w:szCs w:val="20"/>
        </w:rPr>
        <w:endnoteRef/>
      </w:r>
      <w:r w:rsidRPr="00CF6986">
        <w:rPr>
          <w:rFonts w:asciiTheme="majorHAnsi" w:hAnsiTheme="majorHAnsi" w:cstheme="majorHAnsi"/>
          <w:sz w:val="20"/>
          <w:szCs w:val="20"/>
        </w:rPr>
        <w:t xml:space="preserve"> Wang G, </w:t>
      </w:r>
      <w:proofErr w:type="spellStart"/>
      <w:r w:rsidRPr="00CF6986">
        <w:rPr>
          <w:rFonts w:asciiTheme="majorHAnsi" w:hAnsiTheme="majorHAnsi" w:cstheme="majorHAnsi"/>
          <w:sz w:val="20"/>
          <w:szCs w:val="20"/>
        </w:rPr>
        <w:t>Macera</w:t>
      </w:r>
      <w:proofErr w:type="spellEnd"/>
      <w:r w:rsidRPr="00CF6986">
        <w:rPr>
          <w:rFonts w:asciiTheme="majorHAnsi" w:hAnsiTheme="majorHAnsi" w:cstheme="majorHAnsi"/>
          <w:sz w:val="20"/>
          <w:szCs w:val="20"/>
        </w:rPr>
        <w:t xml:space="preserve"> CA, et al. A cost-benefit analysis of physical activity using bike/pedestrian trails. </w:t>
      </w:r>
      <w:r w:rsidRPr="00CF6986">
        <w:rPr>
          <w:rFonts w:asciiTheme="majorHAnsi" w:hAnsiTheme="majorHAnsi" w:cstheme="majorHAnsi"/>
          <w:i/>
          <w:iCs/>
          <w:sz w:val="20"/>
          <w:szCs w:val="20"/>
        </w:rPr>
        <w:t xml:space="preserve">Health Promotion Practice </w:t>
      </w:r>
      <w:r w:rsidRPr="00CF6986">
        <w:rPr>
          <w:rFonts w:asciiTheme="majorHAnsi" w:hAnsiTheme="majorHAnsi" w:cstheme="majorHAnsi"/>
          <w:sz w:val="20"/>
          <w:szCs w:val="20"/>
        </w:rPr>
        <w:t xml:space="preserve">6.2 (2005): </w:t>
      </w:r>
      <w:r w:rsidRPr="00CF6986">
        <w:rPr>
          <w:rFonts w:asciiTheme="majorHAnsi" w:hAnsiTheme="majorHAnsi" w:cstheme="majorHAnsi"/>
          <w:sz w:val="20"/>
          <w:szCs w:val="20"/>
        </w:rPr>
        <w:br/>
        <w:t>174-179.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DAE32" w14:textId="77777777" w:rsidR="00CA7467" w:rsidRDefault="00CA7467" w:rsidP="00CA746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09ABD" w14:textId="77777777" w:rsidR="00CA7467" w:rsidRDefault="00CA7467" w:rsidP="00CA746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C1A12" w14:textId="77777777" w:rsidR="00CA7467" w:rsidRPr="00CA7467" w:rsidRDefault="00CA7467" w:rsidP="00CA7467">
    <w:pPr>
      <w:pStyle w:val="Footer"/>
      <w:framePr w:wrap="around" w:vAnchor="text" w:hAnchor="page" w:x="1801" w:y="136"/>
      <w:rPr>
        <w:rStyle w:val="PageNumber"/>
        <w:rFonts w:asciiTheme="majorHAnsi" w:hAnsiTheme="majorHAnsi"/>
        <w:color w:val="3898B5"/>
        <w:sz w:val="20"/>
      </w:rPr>
    </w:pPr>
    <w:r w:rsidRPr="00CA7467">
      <w:rPr>
        <w:rStyle w:val="PageNumber"/>
        <w:rFonts w:asciiTheme="majorHAnsi" w:hAnsiTheme="majorHAnsi"/>
        <w:color w:val="3898B5"/>
        <w:sz w:val="20"/>
      </w:rPr>
      <w:fldChar w:fldCharType="begin"/>
    </w:r>
    <w:r w:rsidRPr="00CA7467">
      <w:rPr>
        <w:rStyle w:val="PageNumber"/>
        <w:rFonts w:asciiTheme="majorHAnsi" w:hAnsiTheme="majorHAnsi"/>
        <w:color w:val="3898B5"/>
        <w:sz w:val="20"/>
      </w:rPr>
      <w:instrText xml:space="preserve">PAGE  </w:instrText>
    </w:r>
    <w:r w:rsidRPr="00CA7467">
      <w:rPr>
        <w:rStyle w:val="PageNumber"/>
        <w:rFonts w:asciiTheme="majorHAnsi" w:hAnsiTheme="majorHAnsi"/>
        <w:color w:val="3898B5"/>
        <w:sz w:val="20"/>
      </w:rPr>
      <w:fldChar w:fldCharType="separate"/>
    </w:r>
    <w:r w:rsidR="00261E21">
      <w:rPr>
        <w:rStyle w:val="PageNumber"/>
        <w:rFonts w:asciiTheme="majorHAnsi" w:hAnsiTheme="majorHAnsi"/>
        <w:noProof/>
        <w:color w:val="3898B5"/>
        <w:sz w:val="20"/>
      </w:rPr>
      <w:t>1</w:t>
    </w:r>
    <w:r w:rsidRPr="00CA7467">
      <w:rPr>
        <w:rStyle w:val="PageNumber"/>
        <w:rFonts w:asciiTheme="majorHAnsi" w:hAnsiTheme="majorHAnsi"/>
        <w:color w:val="3898B5"/>
        <w:sz w:val="20"/>
      </w:rPr>
      <w:fldChar w:fldCharType="end"/>
    </w:r>
  </w:p>
  <w:p w14:paraId="4D110C17" w14:textId="77777777" w:rsidR="00CA7467" w:rsidRDefault="00CA7467" w:rsidP="00CA7467">
    <w:pPr>
      <w:pStyle w:val="Header"/>
      <w:ind w:firstLine="360"/>
      <w:rPr>
        <w:rStyle w:val="PageNumber"/>
      </w:rPr>
    </w:pPr>
  </w:p>
  <w:p w14:paraId="2209A93F" w14:textId="77777777" w:rsidR="00CA7467" w:rsidRDefault="00CA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C2228" w14:textId="77777777" w:rsidR="006720E2" w:rsidRDefault="008120B4">
      <w:pPr>
        <w:spacing w:after="0"/>
      </w:pPr>
      <w:r>
        <w:separator/>
      </w:r>
    </w:p>
  </w:footnote>
  <w:footnote w:type="continuationSeparator" w:id="0">
    <w:p w14:paraId="7CCC6BF8" w14:textId="77777777" w:rsidR="006720E2" w:rsidRDefault="00812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46F6" w14:textId="77777777" w:rsidR="00CA7467" w:rsidRDefault="00CA7467" w:rsidP="00CA74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3431B" w14:textId="77777777" w:rsidR="00CA7467" w:rsidRDefault="00CA7467" w:rsidP="00CA74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EEDC" w14:textId="6A6D9E08" w:rsidR="0028600A" w:rsidRDefault="00242B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47A18" wp14:editId="799E63C8">
          <wp:simplePos x="0" y="0"/>
          <wp:positionH relativeFrom="column">
            <wp:posOffset>-914401</wp:posOffset>
          </wp:positionH>
          <wp:positionV relativeFrom="paragraph">
            <wp:posOffset>-457200</wp:posOffset>
          </wp:positionV>
          <wp:extent cx="7991475" cy="10053955"/>
          <wp:effectExtent l="0" t="0" r="952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 Dept2:DC Ruth:  Master Job Files:AHA Programs :Design:Final Campaigns:SafeRoute:Fact Sheet:SafeRoute_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1965" cy="100545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FC98" w14:textId="0199CFBB" w:rsidR="00250F0F" w:rsidRDefault="00250F0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C2FB19" wp14:editId="75726DD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981950" cy="100539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 Dept2:DC Ruth:  Master Job Files:AHA Programs :Design:Final Campaigns:SafeRoute:Fact Sheet:SafeRoute_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0053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A8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369B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EB04B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BAC1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232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6C217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C24D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645D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B06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E940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F387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F2633E"/>
    <w:multiLevelType w:val="hybridMultilevel"/>
    <w:tmpl w:val="3F7C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96381"/>
    <w:multiLevelType w:val="hybridMultilevel"/>
    <w:tmpl w:val="55A65536"/>
    <w:lvl w:ilvl="0" w:tplc="9326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50D22"/>
    <w:multiLevelType w:val="hybridMultilevel"/>
    <w:tmpl w:val="E1EC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E1A66"/>
    <w:multiLevelType w:val="multilevel"/>
    <w:tmpl w:val="3F7CD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05F9F"/>
    <w:multiLevelType w:val="hybridMultilevel"/>
    <w:tmpl w:val="BFB66294"/>
    <w:lvl w:ilvl="0" w:tplc="532AD338">
      <w:start w:val="1"/>
      <w:numFmt w:val="bullet"/>
      <w:pStyle w:val="AHABullets"/>
      <w:lvlText w:val=""/>
      <w:lvlJc w:val="left"/>
      <w:pPr>
        <w:ind w:left="720" w:hanging="360"/>
      </w:pPr>
      <w:rPr>
        <w:rFonts w:ascii="Symbol" w:hAnsi="Symbol" w:hint="default"/>
        <w:color w:val="E73E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67"/>
    <w:rsid w:val="00113CC9"/>
    <w:rsid w:val="00193795"/>
    <w:rsid w:val="001E1036"/>
    <w:rsid w:val="00242B2D"/>
    <w:rsid w:val="00250F0F"/>
    <w:rsid w:val="00261E21"/>
    <w:rsid w:val="0028600A"/>
    <w:rsid w:val="005B2A7F"/>
    <w:rsid w:val="006720E2"/>
    <w:rsid w:val="006D5319"/>
    <w:rsid w:val="006F3AB9"/>
    <w:rsid w:val="00704C68"/>
    <w:rsid w:val="00780418"/>
    <w:rsid w:val="008120B4"/>
    <w:rsid w:val="00A876D3"/>
    <w:rsid w:val="00AD37EF"/>
    <w:rsid w:val="00B41E7A"/>
    <w:rsid w:val="00C549D3"/>
    <w:rsid w:val="00CA7467"/>
    <w:rsid w:val="00D237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89974A"/>
  <w15:docId w15:val="{D0065CDE-46C3-4252-9FF9-E02E782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44"/>
  </w:style>
  <w:style w:type="paragraph" w:styleId="Heading1">
    <w:name w:val="heading 1"/>
    <w:basedOn w:val="Normal"/>
    <w:next w:val="Normal"/>
    <w:link w:val="Heading1Char"/>
    <w:uiPriority w:val="9"/>
    <w:qFormat/>
    <w:rsid w:val="00CA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6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467"/>
  </w:style>
  <w:style w:type="paragraph" w:styleId="Footer">
    <w:name w:val="footer"/>
    <w:basedOn w:val="Normal"/>
    <w:link w:val="FooterChar"/>
    <w:uiPriority w:val="99"/>
    <w:unhideWhenUsed/>
    <w:rsid w:val="00CA746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467"/>
  </w:style>
  <w:style w:type="character" w:styleId="PageNumber">
    <w:name w:val="page number"/>
    <w:basedOn w:val="DefaultParagraphFont"/>
    <w:uiPriority w:val="99"/>
    <w:semiHidden/>
    <w:unhideWhenUsed/>
    <w:rsid w:val="00CA7467"/>
  </w:style>
  <w:style w:type="character" w:customStyle="1" w:styleId="AHAHeading">
    <w:name w:val="AHA Heading"/>
    <w:basedOn w:val="DefaultParagraphFont"/>
    <w:rsid w:val="00CA7467"/>
    <w:rPr>
      <w:rFonts w:asciiTheme="majorHAnsi" w:hAnsiTheme="majorHAnsi"/>
      <w:b/>
      <w:color w:val="E73E3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74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HASubheading">
    <w:name w:val="AHA Subheading"/>
    <w:basedOn w:val="Normal"/>
    <w:qFormat/>
    <w:rsid w:val="00704C68"/>
    <w:pPr>
      <w:outlineLvl w:val="0"/>
    </w:pPr>
    <w:rPr>
      <w:rFonts w:asciiTheme="majorHAnsi" w:hAnsiTheme="majorHAnsi"/>
      <w:color w:val="4198B5"/>
      <w:sz w:val="28"/>
    </w:rPr>
  </w:style>
  <w:style w:type="paragraph" w:customStyle="1" w:styleId="AHALeadincallout">
    <w:name w:val="AHA Lead in/callout"/>
    <w:basedOn w:val="Normal"/>
    <w:qFormat/>
    <w:rsid w:val="00704C68"/>
    <w:pPr>
      <w:outlineLvl w:val="0"/>
    </w:pPr>
    <w:rPr>
      <w:rFonts w:asciiTheme="majorHAnsi" w:hAnsiTheme="majorHAnsi"/>
      <w:b/>
      <w:color w:val="4198B5"/>
      <w:sz w:val="22"/>
    </w:rPr>
  </w:style>
  <w:style w:type="paragraph" w:customStyle="1" w:styleId="AHABodyCopy">
    <w:name w:val="AHA Body Copy"/>
    <w:basedOn w:val="Normal"/>
    <w:qFormat/>
    <w:rsid w:val="00704C68"/>
    <w:pPr>
      <w:outlineLvl w:val="0"/>
    </w:pPr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704C68"/>
    <w:pPr>
      <w:ind w:left="720"/>
      <w:contextualSpacing/>
    </w:pPr>
  </w:style>
  <w:style w:type="paragraph" w:customStyle="1" w:styleId="AHABullets">
    <w:name w:val="AHA Bullets"/>
    <w:basedOn w:val="ListParagraph"/>
    <w:qFormat/>
    <w:rsid w:val="00704C68"/>
    <w:pPr>
      <w:numPr>
        <w:numId w:val="4"/>
      </w:numPr>
      <w:ind w:left="360"/>
      <w:outlineLvl w:val="0"/>
    </w:pPr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7E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D37EF"/>
    <w:pPr>
      <w:spacing w:after="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37E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basedOn w:val="DefaultParagraphFont"/>
    <w:semiHidden/>
    <w:unhideWhenUsed/>
    <w:rsid w:val="00AD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ctivecommunities.org/our-projects/safe-routes-to-school/" TargetMode="External"/><Relationship Id="rId3" Type="http://schemas.openxmlformats.org/officeDocument/2006/relationships/hyperlink" Target="http://www.cdc.gov/SafeChild/images/CDC-ChildhoodInjury.pdf" TargetMode="External"/><Relationship Id="rId7" Type="http://schemas.openxmlformats.org/officeDocument/2006/relationships/hyperlink" Target="http://www.epa.gov/dced/pdf/school_travel.pdf" TargetMode="External"/><Relationship Id="rId2" Type="http://schemas.openxmlformats.org/officeDocument/2006/relationships/hyperlink" Target="http://www.saferoutespartnership.org/mediacenter/research/231169" TargetMode="External"/><Relationship Id="rId1" Type="http://schemas.openxmlformats.org/officeDocument/2006/relationships/hyperlink" Target="http://www.cdc.gov/healthyyouth/health_and_academics/pdf/pa-pe_paper.pdf" TargetMode="External"/><Relationship Id="rId6" Type="http://schemas.openxmlformats.org/officeDocument/2006/relationships/hyperlink" Target="http://repositories.cdlib.org/its/tsc/UCB-TSC-RR-2007-1" TargetMode="External"/><Relationship Id="rId5" Type="http://schemas.openxmlformats.org/officeDocument/2006/relationships/hyperlink" Target="http://www.cdc.gov/physicalactivity/everyone/guidelines/children.html" TargetMode="External"/><Relationship Id="rId4" Type="http://schemas.openxmlformats.org/officeDocument/2006/relationships/hyperlink" Target="http://www.heart.org/idc/groups/heart-public/@wcm/@fc/documents/downloadable/ucm_428180.pdf" TargetMode="External"/><Relationship Id="rId9" Type="http://schemas.openxmlformats.org/officeDocument/2006/relationships/hyperlink" Target="http://www.caactivecommunities.org/our-projects/safe-routes-to-schoo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2754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Norfolk</dc:creator>
  <cp:lastModifiedBy>Tilley, Amy</cp:lastModifiedBy>
  <cp:revision>3</cp:revision>
  <dcterms:created xsi:type="dcterms:W3CDTF">2015-02-04T20:44:00Z</dcterms:created>
  <dcterms:modified xsi:type="dcterms:W3CDTF">2015-02-04T20:51:00Z</dcterms:modified>
</cp:coreProperties>
</file>